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05" w:rsidRPr="00850105" w:rsidRDefault="008501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Pr="00850105">
        <w:rPr>
          <w:rFonts w:ascii="Times New Roman" w:hAnsi="Times New Roman" w:cs="Times New Roman"/>
          <w:b/>
          <w:sz w:val="24"/>
          <w:szCs w:val="24"/>
        </w:rPr>
        <w:t>C</w:t>
      </w:r>
      <w:r w:rsidR="00471FF3">
        <w:rPr>
          <w:rFonts w:ascii="Times New Roman" w:hAnsi="Times New Roman" w:cs="Times New Roman"/>
          <w:b/>
          <w:sz w:val="24"/>
          <w:szCs w:val="24"/>
        </w:rPr>
        <w:t xml:space="preserve">OMBAR LECTURE: FRUSTRATION AND </w:t>
      </w:r>
      <w:r w:rsidRPr="00850105">
        <w:rPr>
          <w:rFonts w:ascii="Times New Roman" w:hAnsi="Times New Roman" w:cs="Times New Roman"/>
          <w:b/>
          <w:sz w:val="24"/>
          <w:szCs w:val="24"/>
        </w:rPr>
        <w:t>FORCE MAJEURE</w:t>
      </w:r>
    </w:p>
    <w:p w:rsidR="00850105" w:rsidRPr="008658EA" w:rsidRDefault="00850105" w:rsidP="008501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Ewan McKendrick QC (Hon)</w:t>
      </w:r>
    </w:p>
    <w:p w:rsidR="00850105" w:rsidRPr="008658EA" w:rsidRDefault="00850105" w:rsidP="00850105">
      <w:pPr>
        <w:spacing w:after="0"/>
        <w:ind w:left="2160"/>
        <w:rPr>
          <w:rFonts w:ascii="Times New Roman" w:hAnsi="Times New Roman"/>
          <w:b/>
          <w:bCs/>
          <w:sz w:val="24"/>
          <w:szCs w:val="24"/>
        </w:rPr>
      </w:pPr>
      <w:r w:rsidRPr="008658EA">
        <w:rPr>
          <w:rFonts w:ascii="Times New Roman" w:hAnsi="Times New Roman"/>
          <w:b/>
          <w:bCs/>
          <w:sz w:val="24"/>
          <w:szCs w:val="24"/>
        </w:rPr>
        <w:t>Professor of English Private Law, University of Oxford</w:t>
      </w:r>
    </w:p>
    <w:p w:rsidR="00850105" w:rsidRDefault="00850105" w:rsidP="00471FF3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8658EA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71FF3">
        <w:rPr>
          <w:rFonts w:ascii="Times New Roman" w:hAnsi="Times New Roman"/>
          <w:b/>
          <w:bCs/>
          <w:sz w:val="24"/>
          <w:szCs w:val="24"/>
        </w:rPr>
        <w:t xml:space="preserve">3 Verulam Buildings, Gray’s </w:t>
      </w:r>
    </w:p>
    <w:p w:rsidR="00471FF3" w:rsidRDefault="00471FF3" w:rsidP="00471FF3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71FF3" w:rsidRDefault="00471FF3" w:rsidP="00471FF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LIST OF REFERENCES</w:t>
      </w:r>
    </w:p>
    <w:p w:rsidR="00471FF3" w:rsidRDefault="00471FF3" w:rsidP="00471FF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1FF3" w:rsidRPr="00471FF3" w:rsidRDefault="00471FF3" w:rsidP="00471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FRUSTRATION</w:t>
      </w:r>
    </w:p>
    <w:p w:rsidR="00471FF3" w:rsidRPr="00471FF3" w:rsidRDefault="00471FF3" w:rsidP="00471FF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A7427" w:rsidRPr="000A7427" w:rsidRDefault="000A7427" w:rsidP="000A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scope of frustration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Davis Contractors Ltd v Fareham Urban District Council </w:t>
      </w:r>
      <w:r>
        <w:rPr>
          <w:rFonts w:ascii="Times New Roman" w:hAnsi="Times New Roman"/>
          <w:sz w:val="24"/>
        </w:rPr>
        <w:t>[1956] AC 696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The Nema </w:t>
      </w:r>
      <w:r>
        <w:rPr>
          <w:rFonts w:ascii="Times New Roman" w:hAnsi="Times New Roman"/>
          <w:sz w:val="24"/>
        </w:rPr>
        <w:t>[1982] AC 724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Hirji Mulji v Cheong Yue SS Co </w:t>
      </w:r>
      <w:r>
        <w:rPr>
          <w:rFonts w:ascii="Times New Roman" w:hAnsi="Times New Roman"/>
          <w:sz w:val="24"/>
        </w:rPr>
        <w:t>[1926] AC 497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 Reform (Frustrated Contracts) Act 1943</w:t>
      </w: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J Lauritzen AS v Wijsmuller BV (The ‘Super Servant Two’) </w:t>
      </w:r>
      <w:r w:rsidRPr="00600141">
        <w:rPr>
          <w:rFonts w:ascii="Times New Roman" w:hAnsi="Times New Roman"/>
          <w:sz w:val="24"/>
        </w:rPr>
        <w:t>[1990] 1 Lloyd’s Rep 1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E7D">
        <w:rPr>
          <w:rFonts w:ascii="Times New Roman" w:hAnsi="Times New Roman"/>
          <w:i/>
          <w:sz w:val="24"/>
          <w:szCs w:val="24"/>
        </w:rPr>
        <w:t>Canary Wharf (BP4) T1 Ltd v European Medicines Agency</w:t>
      </w:r>
      <w:r w:rsidR="004A57EC">
        <w:rPr>
          <w:rFonts w:ascii="Times New Roman" w:hAnsi="Times New Roman"/>
          <w:sz w:val="24"/>
          <w:szCs w:val="24"/>
        </w:rPr>
        <w:t xml:space="preserve"> [2019] EWHC 335 (Ch).</w:t>
      </w: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Edwinton Commercial Corp, Global Tradeways Limited v Tsavliris Russ (Worldwide Salvage &amp; Towage) Ltd (The ‘Sea Angel’) </w:t>
      </w:r>
      <w:r>
        <w:rPr>
          <w:rFonts w:ascii="Times New Roman" w:hAnsi="Times New Roman"/>
          <w:sz w:val="24"/>
        </w:rPr>
        <w:t>[2007] EWCA Civ 547,</w:t>
      </w:r>
      <w:r w:rsidRPr="00600141">
        <w:rPr>
          <w:rFonts w:ascii="Times New Roman" w:hAnsi="Times New Roman"/>
          <w:sz w:val="24"/>
        </w:rPr>
        <w:t xml:space="preserve"> [2007] 2 Lloyd’s Rep 517</w:t>
      </w: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National Carriers v Panalpina (Northern) Ltd </w:t>
      </w:r>
      <w:r w:rsidRPr="00600141">
        <w:rPr>
          <w:rFonts w:ascii="Times New Roman" w:hAnsi="Times New Roman"/>
          <w:sz w:val="24"/>
        </w:rPr>
        <w:t>[1981] AC 675</w:t>
      </w:r>
    </w:p>
    <w:p w:rsidR="000A7427" w:rsidRDefault="000A7427" w:rsidP="000A7427">
      <w:pPr>
        <w:spacing w:after="0" w:line="240" w:lineRule="auto"/>
        <w:rPr>
          <w:rFonts w:ascii="Times New Roman" w:hAnsi="Times New Roman"/>
          <w:sz w:val="24"/>
        </w:rPr>
      </w:pPr>
    </w:p>
    <w:p w:rsidR="000A7427" w:rsidRDefault="000A7427" w:rsidP="000A74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Subsequent illegality</w:t>
      </w:r>
    </w:p>
    <w:p w:rsidR="000A7427" w:rsidRPr="000A7427" w:rsidRDefault="000A7427" w:rsidP="000A742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Islamic Republic of Iran Shipping Lines v Steamship Mutual Underwriting Association (Bermuda) Ltd </w:t>
      </w:r>
      <w:r>
        <w:rPr>
          <w:rFonts w:ascii="Times New Roman" w:hAnsi="Times New Roman"/>
          <w:sz w:val="24"/>
        </w:rPr>
        <w:t>[2010] EWHC 2661 (Comm),</w:t>
      </w:r>
      <w:r w:rsidRPr="00600141">
        <w:rPr>
          <w:rFonts w:ascii="Times New Roman" w:hAnsi="Times New Roman"/>
          <w:sz w:val="24"/>
        </w:rPr>
        <w:t xml:space="preserve"> [2011] 1 Lloyd’s Rep 195</w:t>
      </w:r>
      <w:r>
        <w:rPr>
          <w:rFonts w:ascii="Times New Roman" w:hAnsi="Times New Roman"/>
          <w:sz w:val="24"/>
        </w:rPr>
        <w:t>, [100]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Ertel Bieber and Co v Rio Tinto Co Ltd </w:t>
      </w:r>
      <w:r w:rsidRPr="00600141">
        <w:rPr>
          <w:rFonts w:ascii="Times New Roman" w:hAnsi="Times New Roman"/>
          <w:sz w:val="24"/>
        </w:rPr>
        <w:t>[1918] AC 260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>Denny,</w:t>
      </w:r>
      <w:r>
        <w:rPr>
          <w:rFonts w:ascii="Times New Roman" w:hAnsi="Times New Roman" w:cs="Book Antiqua"/>
          <w:i/>
          <w:iCs/>
          <w:sz w:val="24"/>
        </w:rPr>
        <w:t xml:space="preserve"> </w:t>
      </w:r>
      <w:r w:rsidRPr="00600141">
        <w:rPr>
          <w:rFonts w:ascii="Times New Roman" w:hAnsi="Times New Roman" w:cs="Book Antiqua"/>
          <w:i/>
          <w:iCs/>
          <w:sz w:val="24"/>
        </w:rPr>
        <w:t xml:space="preserve">Mott &amp; Dickinson v James B Fraser &amp; Co Ltd </w:t>
      </w:r>
      <w:r>
        <w:rPr>
          <w:rFonts w:ascii="Times New Roman" w:hAnsi="Times New Roman"/>
          <w:sz w:val="24"/>
        </w:rPr>
        <w:t xml:space="preserve">[1944] AC 265 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Cricklewood Property Investment Trust Ltd v Leighton’s Investment Trust Ltd </w:t>
      </w:r>
      <w:r w:rsidRPr="00600141">
        <w:rPr>
          <w:rFonts w:ascii="Times New Roman" w:hAnsi="Times New Roman"/>
          <w:sz w:val="24"/>
        </w:rPr>
        <w:t>[1945] AC 221</w:t>
      </w:r>
    </w:p>
    <w:p w:rsidR="000A7427" w:rsidRDefault="000A7427" w:rsidP="000A7427">
      <w:pPr>
        <w:spacing w:after="0" w:line="240" w:lineRule="auto"/>
        <w:rPr>
          <w:rFonts w:ascii="Times New Roman" w:hAnsi="Times New Roman"/>
          <w:sz w:val="24"/>
        </w:rPr>
      </w:pPr>
    </w:p>
    <w:p w:rsidR="000A7427" w:rsidRDefault="000A7427" w:rsidP="000A74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Impossibility and frustration of purpose</w:t>
      </w:r>
    </w:p>
    <w:p w:rsidR="000A7427" w:rsidRPr="000A7427" w:rsidRDefault="000A7427" w:rsidP="000A742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Taylor v Caldwell </w:t>
      </w:r>
      <w:r>
        <w:rPr>
          <w:rFonts w:ascii="Times New Roman" w:hAnsi="Times New Roman"/>
          <w:sz w:val="24"/>
        </w:rPr>
        <w:t>(1863) 3 B &amp; S 826</w:t>
      </w: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Krell v Henry </w:t>
      </w:r>
      <w:r w:rsidRPr="00600141">
        <w:rPr>
          <w:rFonts w:ascii="Times New Roman" w:hAnsi="Times New Roman"/>
          <w:sz w:val="24"/>
        </w:rPr>
        <w:t>[1903] 2 KB 740</w:t>
      </w:r>
    </w:p>
    <w:p w:rsidR="000A7427" w:rsidRDefault="000A7427" w:rsidP="000A7427">
      <w:pPr>
        <w:spacing w:after="0" w:line="240" w:lineRule="auto"/>
        <w:rPr>
          <w:rFonts w:ascii="Times New Roman" w:hAnsi="Times New Roman"/>
          <w:sz w:val="24"/>
        </w:rPr>
      </w:pPr>
    </w:p>
    <w:p w:rsidR="000A7427" w:rsidRDefault="000A7427" w:rsidP="000A7427">
      <w:pPr>
        <w:spacing w:after="0" w:line="240" w:lineRule="auto"/>
        <w:rPr>
          <w:rFonts w:ascii="Times New Roman" w:hAnsi="Times New Roman"/>
          <w:sz w:val="24"/>
        </w:rPr>
      </w:pPr>
    </w:p>
    <w:p w:rsidR="000A7427" w:rsidRDefault="000A7427" w:rsidP="000A74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Delay</w:t>
      </w:r>
    </w:p>
    <w:p w:rsidR="000A7427" w:rsidRPr="000A7427" w:rsidRDefault="000A7427" w:rsidP="000A742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A7427" w:rsidRDefault="000A7427" w:rsidP="000A7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The Nema </w:t>
      </w:r>
      <w:r>
        <w:rPr>
          <w:rFonts w:ascii="Times New Roman" w:hAnsi="Times New Roman"/>
          <w:sz w:val="24"/>
        </w:rPr>
        <w:t>[1982] AC 724</w:t>
      </w:r>
    </w:p>
    <w:p w:rsidR="000A7427" w:rsidRDefault="00471FF3" w:rsidP="000A7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Court Line v Dant </w:t>
      </w:r>
      <w:r>
        <w:rPr>
          <w:rFonts w:ascii="Times New Roman" w:hAnsi="Times New Roman"/>
          <w:sz w:val="24"/>
        </w:rPr>
        <w:t>(1939) 44 Com Cas 345</w:t>
      </w:r>
    </w:p>
    <w:p w:rsidR="00471FF3" w:rsidRDefault="00471FF3" w:rsidP="000A7427">
      <w:pPr>
        <w:spacing w:after="0" w:line="240" w:lineRule="auto"/>
        <w:rPr>
          <w:rFonts w:ascii="Times New Roman" w:hAnsi="Times New Roman"/>
          <w:sz w:val="24"/>
        </w:rPr>
      </w:pPr>
    </w:p>
    <w:p w:rsidR="00471FF3" w:rsidRDefault="00471FF3" w:rsidP="0047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Book Antiqua"/>
          <w:iCs/>
          <w:sz w:val="24"/>
        </w:rPr>
      </w:pPr>
      <w:r>
        <w:rPr>
          <w:rFonts w:ascii="Times New Roman" w:hAnsi="Times New Roman" w:cs="Book Antiqua"/>
          <w:iCs/>
          <w:sz w:val="24"/>
        </w:rPr>
        <w:t>Foresight, express provision and the relationship with force majeure clauses</w:t>
      </w:r>
    </w:p>
    <w:p w:rsidR="00471FF3" w:rsidRPr="00471FF3" w:rsidRDefault="00471FF3" w:rsidP="00471FF3">
      <w:pPr>
        <w:pStyle w:val="ListParagraph"/>
        <w:spacing w:after="0" w:line="240" w:lineRule="auto"/>
        <w:ind w:left="1080"/>
        <w:rPr>
          <w:rFonts w:ascii="Times New Roman" w:hAnsi="Times New Roman" w:cs="Book Antiqua"/>
          <w:iCs/>
          <w:sz w:val="24"/>
        </w:rPr>
      </w:pP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</w:rPr>
      </w:pPr>
      <w:r w:rsidRPr="00600141">
        <w:rPr>
          <w:rFonts w:ascii="Times New Roman" w:hAnsi="Times New Roman" w:cs="Book Antiqua"/>
          <w:i/>
          <w:iCs/>
          <w:sz w:val="24"/>
        </w:rPr>
        <w:t xml:space="preserve">Metropolitan Water Board v Dick, Kerr and Co </w:t>
      </w:r>
      <w:r w:rsidRPr="00600141">
        <w:rPr>
          <w:rFonts w:ascii="Times New Roman" w:hAnsi="Times New Roman"/>
          <w:sz w:val="24"/>
        </w:rPr>
        <w:t>[1918] AC 119</w:t>
      </w:r>
    </w:p>
    <w:p w:rsidR="00471FF3" w:rsidRDefault="00471FF3" w:rsidP="000A7427">
      <w:pPr>
        <w:spacing w:after="0" w:line="240" w:lineRule="auto"/>
        <w:rPr>
          <w:i/>
        </w:rPr>
      </w:pPr>
    </w:p>
    <w:p w:rsidR="00471FF3" w:rsidRDefault="00471FF3" w:rsidP="000A7427">
      <w:pPr>
        <w:spacing w:after="0" w:line="240" w:lineRule="auto"/>
        <w:rPr>
          <w:i/>
        </w:rPr>
      </w:pPr>
    </w:p>
    <w:p w:rsidR="00471FF3" w:rsidRDefault="00471FF3" w:rsidP="000A7427">
      <w:pPr>
        <w:spacing w:after="0" w:line="240" w:lineRule="auto"/>
        <w:rPr>
          <w:i/>
        </w:rPr>
      </w:pPr>
    </w:p>
    <w:p w:rsidR="00471FF3" w:rsidRDefault="00471FF3" w:rsidP="000A7427">
      <w:pPr>
        <w:spacing w:after="0" w:line="240" w:lineRule="auto"/>
        <w:rPr>
          <w:i/>
        </w:rPr>
      </w:pPr>
    </w:p>
    <w:p w:rsidR="00471FF3" w:rsidRDefault="00471FF3" w:rsidP="000A7427">
      <w:pPr>
        <w:spacing w:after="0" w:line="240" w:lineRule="auto"/>
        <w:rPr>
          <w:i/>
        </w:rPr>
      </w:pPr>
    </w:p>
    <w:p w:rsidR="00471FF3" w:rsidRDefault="00471FF3" w:rsidP="000A7427">
      <w:pPr>
        <w:spacing w:after="0" w:line="240" w:lineRule="auto"/>
        <w:rPr>
          <w:i/>
        </w:rPr>
      </w:pPr>
    </w:p>
    <w:p w:rsidR="00471FF3" w:rsidRPr="00471FF3" w:rsidRDefault="00471FF3" w:rsidP="00471F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1FF3">
        <w:rPr>
          <w:rFonts w:ascii="Times New Roman" w:hAnsi="Times New Roman" w:cs="Times New Roman"/>
          <w:b/>
          <w:sz w:val="24"/>
          <w:szCs w:val="24"/>
        </w:rPr>
        <w:t>FORCE MAJEURE</w:t>
      </w:r>
    </w:p>
    <w:p w:rsidR="00471FF3" w:rsidRDefault="00471FF3" w:rsidP="000A74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57EC" w:rsidRPr="00471FF3" w:rsidRDefault="004A57EC" w:rsidP="000A7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FF3">
        <w:rPr>
          <w:rFonts w:ascii="Times New Roman" w:hAnsi="Times New Roman" w:cs="Times New Roman"/>
          <w:i/>
          <w:sz w:val="24"/>
          <w:szCs w:val="24"/>
        </w:rPr>
        <w:t>Matsoukis v Priestman</w:t>
      </w:r>
      <w:r w:rsidRPr="00471FF3">
        <w:rPr>
          <w:rFonts w:ascii="Times New Roman" w:hAnsi="Times New Roman" w:cs="Times New Roman"/>
          <w:sz w:val="24"/>
          <w:szCs w:val="24"/>
        </w:rPr>
        <w:t xml:space="preserve"> [1915] 1 KB 681, 685</w:t>
      </w: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</w:rPr>
      </w:pPr>
      <w:r w:rsidRPr="00471FF3">
        <w:rPr>
          <w:rFonts w:ascii="Times New Roman" w:hAnsi="Times New Roman" w:cs="Times New Roman"/>
          <w:i/>
          <w:iCs/>
          <w:sz w:val="24"/>
          <w:szCs w:val="24"/>
        </w:rPr>
        <w:t>Thomas Borthwick (Glasgow) Ltd v Faure Fairclough Ltd</w:t>
      </w:r>
      <w:r w:rsidR="00471FF3">
        <w:rPr>
          <w:rFonts w:ascii="Times New Roman" w:hAnsi="Times New Roman" w:cs="Times New Roman"/>
          <w:sz w:val="24"/>
          <w:szCs w:val="24"/>
        </w:rPr>
        <w:t xml:space="preserve"> [1968] 1 Lloyd’</w:t>
      </w:r>
      <w:r w:rsidRPr="00471FF3">
        <w:rPr>
          <w:rFonts w:ascii="Times New Roman" w:hAnsi="Times New Roman" w:cs="Times New Roman"/>
          <w:sz w:val="24"/>
          <w:szCs w:val="24"/>
        </w:rPr>
        <w:t>s Rep 16, 28</w:t>
      </w:r>
    </w:p>
    <w:p w:rsidR="00471FF3" w:rsidRPr="00471FF3" w:rsidRDefault="00471FF3" w:rsidP="0047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FF3">
        <w:rPr>
          <w:rFonts w:ascii="Times New Roman" w:hAnsi="Times New Roman" w:cs="Times New Roman"/>
          <w:i/>
          <w:sz w:val="24"/>
          <w:szCs w:val="24"/>
        </w:rPr>
        <w:t xml:space="preserve">Thames Valley Power Limited v. Total Gas &amp; Power Limited </w:t>
      </w:r>
      <w:r w:rsidRPr="00471FF3">
        <w:rPr>
          <w:rFonts w:ascii="Times New Roman" w:hAnsi="Times New Roman" w:cs="Times New Roman"/>
          <w:sz w:val="24"/>
          <w:szCs w:val="24"/>
        </w:rPr>
        <w:t>[2005] EWHC 2208 (Comm)</w:t>
      </w:r>
      <w:r>
        <w:rPr>
          <w:rFonts w:ascii="Times New Roman" w:hAnsi="Times New Roman" w:cs="Times New Roman"/>
          <w:sz w:val="24"/>
          <w:szCs w:val="24"/>
        </w:rPr>
        <w:t>, [2006] 1 Lloyd’s Rep 441</w:t>
      </w:r>
    </w:p>
    <w:p w:rsidR="00471FF3" w:rsidRDefault="00471FF3" w:rsidP="00471F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1FF3">
        <w:rPr>
          <w:rFonts w:ascii="Times New Roman" w:hAnsi="Times New Roman" w:cs="Times New Roman"/>
          <w:i/>
          <w:sz w:val="24"/>
          <w:szCs w:val="24"/>
        </w:rPr>
        <w:t xml:space="preserve">Tandrin Aviation Holdings Ltd v Aero Toy Store LLC </w:t>
      </w:r>
      <w:r>
        <w:rPr>
          <w:rFonts w:ascii="Times New Roman" w:hAnsi="Times New Roman" w:cs="Times New Roman"/>
          <w:sz w:val="24"/>
          <w:szCs w:val="24"/>
        </w:rPr>
        <w:t xml:space="preserve">[2010] EWHC 40 (Comm), </w:t>
      </w:r>
      <w:r w:rsidRPr="00471FF3">
        <w:rPr>
          <w:rFonts w:ascii="Times New Roman" w:hAnsi="Times New Roman" w:cs="Times New Roman"/>
          <w:sz w:val="24"/>
          <w:szCs w:val="24"/>
        </w:rPr>
        <w:t>[2010] 2 Lloyd’s</w:t>
      </w:r>
      <w:r>
        <w:rPr>
          <w:rFonts w:ascii="Times New Roman" w:hAnsi="Times New Roman" w:cs="Times New Roman"/>
          <w:sz w:val="24"/>
          <w:szCs w:val="24"/>
        </w:rPr>
        <w:t xml:space="preserve"> Rep 668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64">
        <w:rPr>
          <w:rFonts w:ascii="Times New Roman" w:hAnsi="Times New Roman"/>
          <w:i/>
          <w:sz w:val="24"/>
          <w:szCs w:val="24"/>
        </w:rPr>
        <w:t>National Bank of Kazakhstan v Bank of New York Mellon SA/NV, London Branch</w:t>
      </w:r>
      <w:r w:rsidRPr="00AC6064">
        <w:rPr>
          <w:rFonts w:ascii="Times New Roman" w:hAnsi="Times New Roman"/>
          <w:sz w:val="24"/>
          <w:szCs w:val="24"/>
        </w:rPr>
        <w:t xml:space="preserve"> [2018] EWCA Civ 1390</w:t>
      </w:r>
      <w:r>
        <w:rPr>
          <w:rFonts w:ascii="Times New Roman" w:hAnsi="Times New Roman"/>
          <w:sz w:val="24"/>
          <w:szCs w:val="24"/>
        </w:rPr>
        <w:t>, [50]</w:t>
      </w:r>
    </w:p>
    <w:p w:rsidR="00850105" w:rsidRDefault="00850105" w:rsidP="000A7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Watts, Watts &amp; Co Ltd v Mitsui &amp; Co Ltd </w:t>
      </w:r>
      <w:r>
        <w:rPr>
          <w:rFonts w:ascii="Times New Roman" w:hAnsi="Times New Roman" w:cs="Times New Roman"/>
          <w:sz w:val="24"/>
          <w:szCs w:val="24"/>
        </w:rPr>
        <w:t>[1917] AC 227</w:t>
      </w:r>
    </w:p>
    <w:p w:rsidR="00850105" w:rsidRDefault="00850105" w:rsidP="000A74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897">
        <w:rPr>
          <w:rFonts w:ascii="Times New Roman" w:hAnsi="Times New Roman"/>
          <w:i/>
          <w:sz w:val="24"/>
          <w:szCs w:val="24"/>
        </w:rPr>
        <w:t xml:space="preserve">Classic Maritime Inc v Limbungan Makmur Sdn Bhd </w:t>
      </w:r>
      <w:r w:rsidRPr="009E7597">
        <w:rPr>
          <w:rFonts w:ascii="Times New Roman" w:hAnsi="Times New Roman"/>
          <w:sz w:val="24"/>
          <w:szCs w:val="24"/>
        </w:rPr>
        <w:t>[2019] EWCA Civ 1102</w:t>
      </w:r>
    </w:p>
    <w:p w:rsidR="004A57EC" w:rsidRDefault="004A57EC" w:rsidP="000A7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Seadrill Ghana Operations Ltd v Tullow Ghana Ltd </w:t>
      </w:r>
      <w:r>
        <w:rPr>
          <w:rFonts w:ascii="Times New Roman" w:hAnsi="Times New Roman"/>
          <w:sz w:val="24"/>
          <w:szCs w:val="24"/>
        </w:rPr>
        <w:t>[2018] EWHC 1640 (Comm)</w:t>
      </w:r>
    </w:p>
    <w:p w:rsidR="004A57EC" w:rsidRPr="00471FF3" w:rsidRDefault="004A57EC" w:rsidP="000A7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FF3">
        <w:rPr>
          <w:rFonts w:ascii="Times New Roman" w:hAnsi="Times New Roman" w:cs="Times New Roman"/>
          <w:i/>
          <w:iCs/>
          <w:sz w:val="24"/>
          <w:szCs w:val="24"/>
        </w:rPr>
        <w:t>Tersons Ltd. v Stevenage Development Corporation</w:t>
      </w:r>
      <w:r w:rsidRPr="00471FF3">
        <w:rPr>
          <w:rFonts w:ascii="Times New Roman" w:hAnsi="Times New Roman" w:cs="Times New Roman"/>
          <w:sz w:val="24"/>
          <w:szCs w:val="24"/>
        </w:rPr>
        <w:t xml:space="preserve"> [1965] 1 QB 37</w:t>
      </w:r>
    </w:p>
    <w:p w:rsidR="000A7427" w:rsidRDefault="000A7427" w:rsidP="000A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FF3" w:rsidRDefault="00471FF3" w:rsidP="000A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FF3" w:rsidRPr="00471FF3" w:rsidRDefault="00471FF3" w:rsidP="000A74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FF3">
        <w:rPr>
          <w:rFonts w:ascii="Times New Roman" w:hAnsi="Times New Roman" w:cs="Times New Roman"/>
          <w:b/>
          <w:sz w:val="24"/>
          <w:szCs w:val="24"/>
        </w:rPr>
        <w:t>FUTURE DIRECTIONS</w:t>
      </w:r>
    </w:p>
    <w:p w:rsidR="00850105" w:rsidRPr="00850105" w:rsidRDefault="00ED457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tgtFrame="_blank" w:history="1">
        <w:r w:rsidR="00850105" w:rsidRPr="00C41345">
          <w:rPr>
            <w:rFonts w:ascii="&amp;quot" w:hAnsi="&amp;quot" w:cs="Times New Roman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https://www.gov.uk/government/publications/guidance-on-responsible-contractual-behaviour-in-the-performance-and-enforcement-of-contracts-impacted-by-the-covid-19-emergency</w:t>
        </w:r>
      </w:hyperlink>
      <w:r w:rsidR="00850105">
        <w:rPr>
          <w:rFonts w:ascii="&amp;quot" w:hAnsi="&amp;quot" w:cs="Times New Roman"/>
          <w:color w:val="201F1E"/>
          <w:sz w:val="23"/>
          <w:szCs w:val="23"/>
          <w:lang w:eastAsia="en-GB"/>
        </w:rPr>
        <w:t>).</w:t>
      </w:r>
    </w:p>
    <w:sectPr w:rsidR="00850105" w:rsidRPr="0085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F2C55"/>
    <w:multiLevelType w:val="hybridMultilevel"/>
    <w:tmpl w:val="66A8B042"/>
    <w:lvl w:ilvl="0" w:tplc="3BF8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219D8"/>
    <w:multiLevelType w:val="hybridMultilevel"/>
    <w:tmpl w:val="78282DBE"/>
    <w:lvl w:ilvl="0" w:tplc="A1CA69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5"/>
    <w:rsid w:val="000121E6"/>
    <w:rsid w:val="0006122A"/>
    <w:rsid w:val="000A7427"/>
    <w:rsid w:val="00471FF3"/>
    <w:rsid w:val="004A57EC"/>
    <w:rsid w:val="005C6E3D"/>
    <w:rsid w:val="007B4C5F"/>
    <w:rsid w:val="00850105"/>
    <w:rsid w:val="00E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66F64-9D98-4A6B-9910-BD2B1FC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guidance-on-responsible-contractual-behaviour-in-the-performance-and-enforcement-of-contracts-impacted-by-the-covid-19-emerg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Mckendrick</dc:creator>
  <cp:keywords/>
  <dc:description/>
  <cp:lastModifiedBy>pati-svc</cp:lastModifiedBy>
  <cp:revision>2</cp:revision>
  <dcterms:created xsi:type="dcterms:W3CDTF">2020-05-12T15:18:00Z</dcterms:created>
  <dcterms:modified xsi:type="dcterms:W3CDTF">2020-05-12T15:18:00Z</dcterms:modified>
</cp:coreProperties>
</file>